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仿宋" w:hAnsi="仿宋" w:eastAsia="仿宋"/>
          <w:sz w:val="24"/>
          <w:szCs w:val="24"/>
        </w:rPr>
      </w:pPr>
      <w:bookmarkStart w:id="0" w:name="_GoBack"/>
      <w:r>
        <w:rPr>
          <w:rFonts w:hint="eastAsia" w:ascii="仿宋" w:hAnsi="仿宋" w:eastAsia="仿宋"/>
          <w:sz w:val="24"/>
          <w:szCs w:val="24"/>
        </w:rPr>
        <w:t>大化工卓越工程人才培养</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为应对国家经济转型对创新工程人才的迫切需要，学校不断完善高素质工程创新人才培养体系，明确提出以“理论为基础、实践为根本、素质为核心”的工程教育理念，始终把真实的工程体验融入到工程教育全过程。六个专业首批进入国家“卓越工程师教育培养计划”，五个专业顺利通过教育部工程教育专业认证，成功挺进全球工程教育“第一方阵”。为确保“卓越计划”的贯彻落实，学校制定《北京化工大学“卓越工程师教育培养计划”实施管理办法》，不仅成立了校院两级的领导小组和工作小组，而且成立了以“卓越计划”责任教授为主任委员的专家委员会，负责审定“卓越计划”培养方案及教学计划，监督教学工作的实施与质量评价。同时，我校作为“北京市卓越工程师教育培养计划高校联盟”的一员，以“资源共享、协同发展”为原则，不断加强校际沟通与交流。</w:t>
      </w:r>
    </w:p>
    <w:p>
      <w:pPr>
        <w:spacing w:line="440" w:lineRule="exact"/>
        <w:ind w:firstLine="480" w:firstLineChars="200"/>
        <w:rPr>
          <w:rFonts w:hint="eastAsia" w:ascii="仿宋" w:hAnsi="仿宋" w:eastAsia="仿宋"/>
          <w:sz w:val="24"/>
          <w:szCs w:val="24"/>
        </w:rPr>
      </w:pPr>
    </w:p>
    <w:p>
      <w:pPr>
        <w:jc w:val="center"/>
        <w:rPr>
          <w:rFonts w:ascii="仿宋" w:hAnsi="仿宋" w:eastAsia="仿宋"/>
        </w:rPr>
      </w:pPr>
      <w:r>
        <w:rPr>
          <w:rFonts w:hint="eastAsia" w:ascii="仿宋" w:hAnsi="仿宋" w:eastAsia="仿宋"/>
        </w:rPr>
        <w:t>我校通过工程认证专业一览</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tcBorders>
              <w:insideV w:val="nil"/>
              <w:tl2br w:val="nil"/>
              <w:tr2bl w:val="nil"/>
            </w:tcBorders>
            <w:vAlign w:val="center"/>
          </w:tcPr>
          <w:p>
            <w:pPr>
              <w:spacing w:before="0" w:after="0" w:line="240" w:lineRule="auto"/>
              <w:rPr>
                <w:rFonts w:ascii="仿宋" w:hAnsi="仿宋" w:eastAsia="仿宋"/>
                <w:b/>
                <w:bCs/>
                <w:color w:val="000000" w:themeColor="text1" w:themeShade="BF"/>
              </w:rPr>
            </w:pPr>
            <w:r>
              <w:rPr>
                <w:rFonts w:hint="eastAsia" w:ascii="仿宋" w:hAnsi="仿宋" w:eastAsia="仿宋"/>
                <w:b/>
                <w:bCs/>
                <w:color w:val="000000" w:themeColor="text1" w:themeShade="BF"/>
              </w:rPr>
              <w:t>年份</w:t>
            </w:r>
          </w:p>
        </w:tc>
        <w:tc>
          <w:tcPr>
            <w:tcW w:w="2841" w:type="dxa"/>
            <w:tcBorders>
              <w:insideV w:val="nil"/>
              <w:tl2br w:val="nil"/>
              <w:tr2bl w:val="nil"/>
            </w:tcBorders>
            <w:vAlign w:val="center"/>
          </w:tcPr>
          <w:p>
            <w:pPr>
              <w:spacing w:before="0" w:after="0" w:line="240" w:lineRule="auto"/>
              <w:rPr>
                <w:rFonts w:ascii="仿宋" w:hAnsi="仿宋" w:eastAsia="仿宋"/>
                <w:b/>
                <w:bCs/>
                <w:color w:val="000000" w:themeColor="text1" w:themeShade="BF"/>
              </w:rPr>
            </w:pPr>
            <w:r>
              <w:rPr>
                <w:rFonts w:hint="eastAsia" w:ascii="仿宋" w:hAnsi="仿宋" w:eastAsia="仿宋"/>
                <w:b/>
                <w:bCs/>
                <w:color w:val="000000" w:themeColor="text1" w:themeShade="BF"/>
              </w:rPr>
              <w:t>认证专业</w:t>
            </w:r>
          </w:p>
        </w:tc>
        <w:tc>
          <w:tcPr>
            <w:tcW w:w="2841" w:type="dxa"/>
            <w:tcBorders>
              <w:insideV w:val="nil"/>
              <w:tl2br w:val="nil"/>
              <w:tr2bl w:val="nil"/>
            </w:tcBorders>
            <w:vAlign w:val="center"/>
          </w:tcPr>
          <w:p>
            <w:pPr>
              <w:spacing w:before="0" w:after="0" w:line="240" w:lineRule="auto"/>
              <w:rPr>
                <w:rFonts w:ascii="仿宋" w:hAnsi="仿宋" w:eastAsia="仿宋"/>
                <w:b/>
                <w:bCs/>
                <w:color w:val="000000" w:themeColor="text1" w:themeShade="BF"/>
              </w:rPr>
            </w:pPr>
            <w:r>
              <w:rPr>
                <w:rFonts w:hint="eastAsia" w:ascii="仿宋" w:hAnsi="仿宋" w:eastAsia="仿宋"/>
                <w:b/>
                <w:bCs/>
                <w:color w:val="000000" w:themeColor="text1" w:themeShade="BF"/>
              </w:rPr>
              <w:t>有效期/年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tcBorders>
              <w:insideV w:val="nil"/>
              <w:tl2br w:val="nil"/>
              <w:tr2bl w:val="nil"/>
            </w:tcBorders>
            <w:shd w:val="clear" w:color="auto" w:fill="auto"/>
            <w:vAlign w:val="center"/>
          </w:tcPr>
          <w:p>
            <w:pPr>
              <w:rPr>
                <w:rFonts w:ascii="仿宋" w:hAnsi="仿宋" w:eastAsia="仿宋"/>
                <w:b/>
                <w:bCs/>
                <w:color w:val="000000" w:themeColor="text1" w:themeShade="BF"/>
              </w:rPr>
            </w:pPr>
            <w:r>
              <w:rPr>
                <w:rFonts w:hint="eastAsia" w:ascii="仿宋" w:hAnsi="仿宋" w:eastAsia="仿宋"/>
                <w:b/>
                <w:bCs/>
                <w:color w:val="000000" w:themeColor="text1" w:themeShade="BF"/>
              </w:rPr>
              <w:t>2007</w:t>
            </w:r>
          </w:p>
        </w:tc>
        <w:tc>
          <w:tcPr>
            <w:tcW w:w="2841" w:type="dxa"/>
            <w:tcBorders>
              <w:insideV w:val="nil"/>
              <w:tl2br w:val="nil"/>
              <w:tr2bl w:val="nil"/>
            </w:tcBorders>
            <w:shd w:val="clear" w:color="auto" w:fill="auto"/>
            <w:vAlign w:val="center"/>
          </w:tcPr>
          <w:p>
            <w:pPr>
              <w:rPr>
                <w:rFonts w:ascii="仿宋" w:hAnsi="仿宋" w:eastAsia="仿宋"/>
                <w:color w:val="000000" w:themeColor="text1" w:themeShade="BF"/>
              </w:rPr>
            </w:pPr>
            <w:r>
              <w:rPr>
                <w:rFonts w:hint="eastAsia" w:ascii="仿宋" w:hAnsi="仿宋" w:eastAsia="仿宋"/>
                <w:color w:val="000000" w:themeColor="text1" w:themeShade="BF"/>
              </w:rPr>
              <w:t>化学工程与工艺</w:t>
            </w:r>
          </w:p>
        </w:tc>
        <w:tc>
          <w:tcPr>
            <w:tcW w:w="2841" w:type="dxa"/>
            <w:tcBorders>
              <w:insideV w:val="nil"/>
              <w:tl2br w:val="nil"/>
              <w:tr2bl w:val="nil"/>
            </w:tcBorders>
            <w:shd w:val="clear" w:color="auto" w:fill="auto"/>
            <w:vAlign w:val="center"/>
          </w:tcPr>
          <w:p>
            <w:pPr>
              <w:rPr>
                <w:rFonts w:ascii="仿宋" w:hAnsi="仿宋" w:eastAsia="仿宋"/>
                <w:color w:val="000000" w:themeColor="text1" w:themeShade="BF"/>
              </w:rPr>
            </w:pPr>
            <w:r>
              <w:rPr>
                <w:rFonts w:hint="eastAsia" w:ascii="仿宋" w:hAnsi="仿宋" w:eastAsia="仿宋"/>
                <w:color w:val="000000" w:themeColor="text1" w:themeShade="B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Merge w:val="restart"/>
            <w:tcBorders>
              <w:tl2br w:val="nil"/>
              <w:tr2bl w:val="nil"/>
            </w:tcBorders>
            <w:shd w:val="clear" w:color="auto" w:fill="auto"/>
            <w:vAlign w:val="center"/>
          </w:tcPr>
          <w:p>
            <w:pPr>
              <w:rPr>
                <w:rFonts w:ascii="仿宋" w:hAnsi="仿宋" w:eastAsia="仿宋"/>
                <w:b/>
                <w:bCs/>
                <w:color w:val="000000" w:themeColor="text1" w:themeShade="BF"/>
              </w:rPr>
            </w:pPr>
            <w:r>
              <w:rPr>
                <w:rFonts w:hint="eastAsia" w:ascii="仿宋" w:hAnsi="仿宋" w:eastAsia="仿宋"/>
                <w:b/>
                <w:bCs/>
                <w:color w:val="000000" w:themeColor="text1" w:themeShade="BF"/>
              </w:rPr>
              <w:t>2010</w:t>
            </w:r>
          </w:p>
        </w:tc>
        <w:tc>
          <w:tcPr>
            <w:tcW w:w="2841" w:type="dxa"/>
            <w:tcBorders>
              <w:tl2br w:val="nil"/>
              <w:tr2bl w:val="nil"/>
            </w:tcBorders>
            <w:shd w:val="clear" w:color="auto" w:fill="auto"/>
            <w:vAlign w:val="center"/>
          </w:tcPr>
          <w:p>
            <w:pPr>
              <w:rPr>
                <w:rFonts w:ascii="仿宋" w:hAnsi="仿宋" w:eastAsia="仿宋"/>
                <w:color w:val="000000" w:themeColor="text1" w:themeShade="BF"/>
              </w:rPr>
            </w:pPr>
            <w:r>
              <w:rPr>
                <w:rFonts w:hint="eastAsia" w:ascii="仿宋" w:hAnsi="仿宋" w:eastAsia="仿宋"/>
                <w:color w:val="000000" w:themeColor="text1" w:themeShade="BF"/>
              </w:rPr>
              <w:t>化学工程与工艺</w:t>
            </w:r>
          </w:p>
        </w:tc>
        <w:tc>
          <w:tcPr>
            <w:tcW w:w="2841" w:type="dxa"/>
            <w:tcBorders>
              <w:tl2br w:val="nil"/>
              <w:tr2bl w:val="nil"/>
            </w:tcBorders>
            <w:shd w:val="clear" w:color="auto" w:fill="auto"/>
            <w:vAlign w:val="center"/>
          </w:tcPr>
          <w:p>
            <w:pPr>
              <w:rPr>
                <w:rFonts w:ascii="仿宋" w:hAnsi="仿宋" w:eastAsia="仿宋"/>
                <w:color w:val="000000" w:themeColor="text1" w:themeShade="BF"/>
              </w:rPr>
            </w:pPr>
            <w:r>
              <w:rPr>
                <w:rFonts w:hint="eastAsia" w:ascii="仿宋" w:hAnsi="仿宋" w:eastAsia="仿宋"/>
                <w:color w:val="000000" w:themeColor="text1" w:themeShade="B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Merge w:val="continue"/>
            <w:tcBorders>
              <w:insideV w:val="nil"/>
              <w:tl2br w:val="nil"/>
              <w:tr2bl w:val="nil"/>
            </w:tcBorders>
            <w:shd w:val="clear" w:color="auto" w:fill="auto"/>
            <w:vAlign w:val="center"/>
          </w:tcPr>
          <w:p>
            <w:pPr>
              <w:rPr>
                <w:rFonts w:ascii="仿宋" w:hAnsi="仿宋" w:eastAsia="仿宋"/>
                <w:b/>
                <w:bCs/>
                <w:color w:val="000000" w:themeColor="text1" w:themeShade="BF"/>
              </w:rPr>
            </w:pPr>
          </w:p>
        </w:tc>
        <w:tc>
          <w:tcPr>
            <w:tcW w:w="2841" w:type="dxa"/>
            <w:tcBorders>
              <w:insideV w:val="nil"/>
              <w:tl2br w:val="nil"/>
              <w:tr2bl w:val="nil"/>
            </w:tcBorders>
            <w:shd w:val="clear" w:color="auto" w:fill="auto"/>
            <w:vAlign w:val="center"/>
          </w:tcPr>
          <w:p>
            <w:pPr>
              <w:rPr>
                <w:rFonts w:ascii="仿宋" w:hAnsi="仿宋" w:eastAsia="仿宋"/>
                <w:color w:val="000000" w:themeColor="text1" w:themeShade="BF"/>
              </w:rPr>
            </w:pPr>
            <w:r>
              <w:rPr>
                <w:rFonts w:hint="eastAsia" w:ascii="仿宋" w:hAnsi="仿宋" w:eastAsia="仿宋"/>
                <w:color w:val="000000" w:themeColor="text1" w:themeShade="BF"/>
              </w:rPr>
              <w:t>过程装备与控制工程</w:t>
            </w:r>
          </w:p>
        </w:tc>
        <w:tc>
          <w:tcPr>
            <w:tcW w:w="2841" w:type="dxa"/>
            <w:tcBorders>
              <w:insideV w:val="nil"/>
              <w:tl2br w:val="nil"/>
              <w:tr2bl w:val="nil"/>
            </w:tcBorders>
            <w:shd w:val="clear" w:color="auto" w:fill="auto"/>
            <w:vAlign w:val="center"/>
          </w:tcPr>
          <w:p>
            <w:pPr>
              <w:rPr>
                <w:rFonts w:ascii="仿宋" w:hAnsi="仿宋" w:eastAsia="仿宋"/>
                <w:color w:val="000000" w:themeColor="text1" w:themeShade="BF"/>
              </w:rPr>
            </w:pPr>
            <w:r>
              <w:rPr>
                <w:rFonts w:hint="eastAsia" w:ascii="仿宋" w:hAnsi="仿宋" w:eastAsia="仿宋"/>
                <w:color w:val="000000" w:themeColor="text1" w:themeShade="B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tcBorders>
              <w:tl2br w:val="nil"/>
              <w:tr2bl w:val="nil"/>
            </w:tcBorders>
            <w:shd w:val="clear" w:color="auto" w:fill="auto"/>
            <w:vAlign w:val="center"/>
          </w:tcPr>
          <w:p>
            <w:pPr>
              <w:rPr>
                <w:rFonts w:ascii="仿宋" w:hAnsi="仿宋" w:eastAsia="仿宋"/>
                <w:b/>
                <w:bCs/>
                <w:color w:val="000000" w:themeColor="text1" w:themeShade="BF"/>
              </w:rPr>
            </w:pPr>
            <w:r>
              <w:rPr>
                <w:rFonts w:hint="eastAsia" w:ascii="仿宋" w:hAnsi="仿宋" w:eastAsia="仿宋"/>
                <w:b/>
                <w:bCs/>
                <w:color w:val="000000" w:themeColor="text1" w:themeShade="BF"/>
              </w:rPr>
              <w:t>2013</w:t>
            </w:r>
          </w:p>
        </w:tc>
        <w:tc>
          <w:tcPr>
            <w:tcW w:w="2841" w:type="dxa"/>
            <w:tcBorders>
              <w:tl2br w:val="nil"/>
              <w:tr2bl w:val="nil"/>
            </w:tcBorders>
            <w:shd w:val="clear" w:color="auto" w:fill="auto"/>
            <w:vAlign w:val="center"/>
          </w:tcPr>
          <w:p>
            <w:pPr>
              <w:rPr>
                <w:rFonts w:ascii="仿宋" w:hAnsi="仿宋" w:eastAsia="仿宋"/>
                <w:color w:val="000000" w:themeColor="text1" w:themeShade="BF"/>
              </w:rPr>
            </w:pPr>
            <w:r>
              <w:rPr>
                <w:rFonts w:hint="eastAsia" w:ascii="仿宋" w:hAnsi="仿宋" w:eastAsia="仿宋"/>
                <w:color w:val="000000" w:themeColor="text1" w:themeShade="BF"/>
              </w:rPr>
              <w:t>化学工程与工艺</w:t>
            </w:r>
          </w:p>
        </w:tc>
        <w:tc>
          <w:tcPr>
            <w:tcW w:w="2841" w:type="dxa"/>
            <w:tcBorders>
              <w:tl2br w:val="nil"/>
              <w:tr2bl w:val="nil"/>
            </w:tcBorders>
            <w:shd w:val="clear" w:color="auto" w:fill="auto"/>
            <w:vAlign w:val="center"/>
          </w:tcPr>
          <w:p>
            <w:pPr>
              <w:rPr>
                <w:rFonts w:ascii="仿宋" w:hAnsi="仿宋" w:eastAsia="仿宋"/>
                <w:color w:val="000000" w:themeColor="text1" w:themeShade="BF"/>
              </w:rPr>
            </w:pPr>
            <w:r>
              <w:rPr>
                <w:rFonts w:hint="eastAsia" w:ascii="仿宋" w:hAnsi="仿宋" w:eastAsia="仿宋"/>
                <w:color w:val="000000" w:themeColor="text1" w:themeShade="B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tcBorders>
              <w:insideV w:val="nil"/>
              <w:tl2br w:val="nil"/>
              <w:tr2bl w:val="nil"/>
            </w:tcBorders>
            <w:shd w:val="clear" w:color="auto" w:fill="auto"/>
            <w:vAlign w:val="center"/>
          </w:tcPr>
          <w:p>
            <w:pPr>
              <w:rPr>
                <w:rFonts w:ascii="仿宋" w:hAnsi="仿宋" w:eastAsia="仿宋"/>
                <w:b/>
                <w:bCs/>
                <w:color w:val="000000" w:themeColor="text1" w:themeShade="BF"/>
              </w:rPr>
            </w:pPr>
            <w:r>
              <w:rPr>
                <w:rFonts w:hint="eastAsia" w:ascii="仿宋" w:hAnsi="仿宋" w:eastAsia="仿宋"/>
                <w:b/>
                <w:bCs/>
                <w:color w:val="000000" w:themeColor="text1" w:themeShade="BF"/>
              </w:rPr>
              <w:t>2016</w:t>
            </w:r>
          </w:p>
        </w:tc>
        <w:tc>
          <w:tcPr>
            <w:tcW w:w="2841" w:type="dxa"/>
            <w:tcBorders>
              <w:insideV w:val="nil"/>
              <w:tl2br w:val="nil"/>
              <w:tr2bl w:val="nil"/>
            </w:tcBorders>
            <w:shd w:val="clear" w:color="auto" w:fill="auto"/>
            <w:vAlign w:val="center"/>
          </w:tcPr>
          <w:p>
            <w:pPr>
              <w:rPr>
                <w:rFonts w:ascii="仿宋" w:hAnsi="仿宋" w:eastAsia="仿宋"/>
                <w:color w:val="000000" w:themeColor="text1" w:themeShade="BF"/>
              </w:rPr>
            </w:pPr>
            <w:r>
              <w:rPr>
                <w:rFonts w:hint="eastAsia" w:ascii="仿宋" w:hAnsi="仿宋" w:eastAsia="仿宋"/>
                <w:color w:val="000000" w:themeColor="text1" w:themeShade="BF"/>
              </w:rPr>
              <w:t>制药工程</w:t>
            </w:r>
          </w:p>
        </w:tc>
        <w:tc>
          <w:tcPr>
            <w:tcW w:w="2841" w:type="dxa"/>
            <w:tcBorders>
              <w:insideV w:val="nil"/>
              <w:tl2br w:val="nil"/>
              <w:tr2bl w:val="nil"/>
            </w:tcBorders>
            <w:shd w:val="clear" w:color="auto" w:fill="auto"/>
            <w:vAlign w:val="center"/>
          </w:tcPr>
          <w:p>
            <w:pPr>
              <w:rPr>
                <w:rFonts w:ascii="仿宋" w:hAnsi="仿宋" w:eastAsia="仿宋"/>
                <w:color w:val="000000" w:themeColor="text1" w:themeShade="BF"/>
              </w:rPr>
            </w:pPr>
            <w:r>
              <w:rPr>
                <w:rFonts w:hint="eastAsia" w:ascii="仿宋" w:hAnsi="仿宋" w:eastAsia="仿宋"/>
                <w:color w:val="000000" w:themeColor="text1" w:themeShade="B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Merge w:val="restart"/>
            <w:tcBorders>
              <w:tl2br w:val="nil"/>
              <w:tr2bl w:val="nil"/>
            </w:tcBorders>
            <w:shd w:val="clear" w:color="auto" w:fill="auto"/>
            <w:vAlign w:val="center"/>
          </w:tcPr>
          <w:p>
            <w:pPr>
              <w:rPr>
                <w:rFonts w:ascii="仿宋" w:hAnsi="仿宋" w:eastAsia="仿宋"/>
                <w:b/>
                <w:bCs/>
                <w:color w:val="000000" w:themeColor="text1" w:themeShade="BF"/>
              </w:rPr>
            </w:pPr>
            <w:r>
              <w:rPr>
                <w:rFonts w:hint="eastAsia" w:ascii="仿宋" w:hAnsi="仿宋" w:eastAsia="仿宋"/>
                <w:b/>
                <w:bCs/>
                <w:color w:val="000000" w:themeColor="text1" w:themeShade="BF"/>
              </w:rPr>
              <w:t>2017</w:t>
            </w:r>
          </w:p>
        </w:tc>
        <w:tc>
          <w:tcPr>
            <w:tcW w:w="2841" w:type="dxa"/>
            <w:tcBorders>
              <w:tl2br w:val="nil"/>
              <w:tr2bl w:val="nil"/>
            </w:tcBorders>
            <w:shd w:val="clear" w:color="auto" w:fill="auto"/>
            <w:vAlign w:val="center"/>
          </w:tcPr>
          <w:p>
            <w:pPr>
              <w:rPr>
                <w:rFonts w:ascii="仿宋" w:hAnsi="仿宋" w:eastAsia="仿宋"/>
                <w:color w:val="000000" w:themeColor="text1" w:themeShade="BF"/>
              </w:rPr>
            </w:pPr>
            <w:r>
              <w:rPr>
                <w:rFonts w:hint="eastAsia" w:ascii="仿宋" w:hAnsi="仿宋" w:eastAsia="仿宋"/>
                <w:color w:val="000000" w:themeColor="text1" w:themeShade="BF"/>
              </w:rPr>
              <w:t>过程装备与控制工程</w:t>
            </w:r>
          </w:p>
        </w:tc>
        <w:tc>
          <w:tcPr>
            <w:tcW w:w="2841" w:type="dxa"/>
            <w:tcBorders>
              <w:tl2br w:val="nil"/>
              <w:tr2bl w:val="nil"/>
            </w:tcBorders>
            <w:shd w:val="clear" w:color="auto" w:fill="auto"/>
            <w:vAlign w:val="center"/>
          </w:tcPr>
          <w:p>
            <w:pPr>
              <w:rPr>
                <w:rFonts w:ascii="仿宋" w:hAnsi="仿宋" w:eastAsia="仿宋"/>
                <w:color w:val="000000" w:themeColor="text1" w:themeShade="BF"/>
              </w:rPr>
            </w:pPr>
            <w:r>
              <w:rPr>
                <w:rFonts w:hint="eastAsia" w:ascii="仿宋" w:hAnsi="仿宋" w:eastAsia="仿宋"/>
                <w:color w:val="000000" w:themeColor="text1" w:themeShade="B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Merge w:val="continue"/>
            <w:tcBorders>
              <w:insideV w:val="nil"/>
              <w:tl2br w:val="nil"/>
              <w:tr2bl w:val="nil"/>
            </w:tcBorders>
            <w:shd w:val="clear" w:color="auto" w:fill="auto"/>
            <w:vAlign w:val="center"/>
          </w:tcPr>
          <w:p>
            <w:pPr>
              <w:rPr>
                <w:rFonts w:ascii="仿宋" w:hAnsi="仿宋" w:eastAsia="仿宋"/>
                <w:b/>
                <w:bCs/>
                <w:color w:val="000000" w:themeColor="text1" w:themeShade="BF"/>
              </w:rPr>
            </w:pPr>
          </w:p>
        </w:tc>
        <w:tc>
          <w:tcPr>
            <w:tcW w:w="2841" w:type="dxa"/>
            <w:tcBorders>
              <w:insideV w:val="nil"/>
              <w:tl2br w:val="nil"/>
              <w:tr2bl w:val="nil"/>
            </w:tcBorders>
            <w:shd w:val="clear" w:color="auto" w:fill="auto"/>
            <w:vAlign w:val="center"/>
          </w:tcPr>
          <w:p>
            <w:pPr>
              <w:rPr>
                <w:rFonts w:ascii="仿宋" w:hAnsi="仿宋" w:eastAsia="仿宋"/>
                <w:color w:val="000000" w:themeColor="text1" w:themeShade="BF"/>
              </w:rPr>
            </w:pPr>
            <w:r>
              <w:rPr>
                <w:rFonts w:hint="eastAsia" w:ascii="仿宋" w:hAnsi="仿宋" w:eastAsia="仿宋"/>
                <w:color w:val="000000" w:themeColor="text1" w:themeShade="BF"/>
              </w:rPr>
              <w:t>生物工程</w:t>
            </w:r>
          </w:p>
        </w:tc>
        <w:tc>
          <w:tcPr>
            <w:tcW w:w="2841" w:type="dxa"/>
            <w:tcBorders>
              <w:insideV w:val="nil"/>
              <w:tl2br w:val="nil"/>
              <w:tr2bl w:val="nil"/>
            </w:tcBorders>
            <w:shd w:val="clear" w:color="auto" w:fill="auto"/>
            <w:vAlign w:val="center"/>
          </w:tcPr>
          <w:p>
            <w:pPr>
              <w:rPr>
                <w:rFonts w:ascii="仿宋" w:hAnsi="仿宋" w:eastAsia="仿宋"/>
                <w:color w:val="000000" w:themeColor="text1" w:themeShade="BF"/>
              </w:rPr>
            </w:pPr>
            <w:r>
              <w:rPr>
                <w:rFonts w:hint="eastAsia" w:ascii="仿宋" w:hAnsi="仿宋" w:eastAsia="仿宋"/>
                <w:color w:val="000000" w:themeColor="text1" w:themeShade="B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Merge w:val="continue"/>
            <w:tcBorders>
              <w:tl2br w:val="nil"/>
              <w:tr2bl w:val="nil"/>
            </w:tcBorders>
            <w:shd w:val="clear" w:color="auto" w:fill="auto"/>
            <w:vAlign w:val="center"/>
          </w:tcPr>
          <w:p>
            <w:pPr>
              <w:rPr>
                <w:rFonts w:ascii="仿宋" w:hAnsi="仿宋" w:eastAsia="仿宋"/>
                <w:b/>
                <w:bCs/>
                <w:color w:val="000000" w:themeColor="text1" w:themeShade="BF"/>
              </w:rPr>
            </w:pPr>
          </w:p>
        </w:tc>
        <w:tc>
          <w:tcPr>
            <w:tcW w:w="2841" w:type="dxa"/>
            <w:tcBorders>
              <w:tl2br w:val="nil"/>
              <w:tr2bl w:val="nil"/>
            </w:tcBorders>
            <w:shd w:val="clear" w:color="auto" w:fill="auto"/>
            <w:vAlign w:val="center"/>
          </w:tcPr>
          <w:p>
            <w:pPr>
              <w:rPr>
                <w:rFonts w:ascii="仿宋" w:hAnsi="仿宋" w:eastAsia="仿宋"/>
                <w:color w:val="000000" w:themeColor="text1" w:themeShade="BF"/>
              </w:rPr>
            </w:pPr>
            <w:r>
              <w:rPr>
                <w:rFonts w:hint="eastAsia" w:ascii="仿宋" w:hAnsi="仿宋" w:eastAsia="仿宋"/>
                <w:color w:val="000000" w:themeColor="text1" w:themeShade="BF"/>
              </w:rPr>
              <w:t>高分子材料与工程</w:t>
            </w:r>
          </w:p>
        </w:tc>
        <w:tc>
          <w:tcPr>
            <w:tcW w:w="2841" w:type="dxa"/>
            <w:tcBorders>
              <w:tl2br w:val="nil"/>
              <w:tr2bl w:val="nil"/>
            </w:tcBorders>
            <w:shd w:val="clear" w:color="auto" w:fill="auto"/>
            <w:vAlign w:val="center"/>
          </w:tcPr>
          <w:p>
            <w:pPr>
              <w:rPr>
                <w:rFonts w:ascii="仿宋" w:hAnsi="仿宋" w:eastAsia="仿宋"/>
                <w:color w:val="000000" w:themeColor="text1" w:themeShade="BF"/>
              </w:rPr>
            </w:pPr>
            <w:r>
              <w:rPr>
                <w:rFonts w:hint="eastAsia" w:ascii="仿宋" w:hAnsi="仿宋" w:eastAsia="仿宋"/>
                <w:color w:val="000000" w:themeColor="text1" w:themeShade="BF"/>
              </w:rPr>
              <w:t>3</w:t>
            </w:r>
          </w:p>
        </w:tc>
      </w:tr>
    </w:tbl>
    <w:p>
      <w:pPr>
        <w:spacing w:line="440" w:lineRule="exact"/>
        <w:rPr>
          <w:rFonts w:ascii="仿宋" w:hAnsi="仿宋" w:eastAsia="仿宋"/>
          <w:sz w:val="24"/>
          <w:szCs w:val="24"/>
        </w:rPr>
      </w:pP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学校成立侯德榜工程师学院，旨在整合学校优势工程资源，打破专业设置屏障，以多学科交叉融合为手段，培养既具有流程行业知识背景，又能利用信息化技术对流程行业的具体领域实现信息化改造的大化工领域的领军人才。为培养具有国际化视野的高端工程人才，建立大化工国际品牌，通过引进法国先进的工程教育理念，学校与法国巴黎国家高等化学学校合作办学成立“北京化工大学巴黎居里工程师学院”，并</w:t>
      </w:r>
      <w:r>
        <w:rPr>
          <w:rFonts w:ascii="仿宋" w:hAnsi="仿宋" w:eastAsia="仿宋"/>
          <w:sz w:val="24"/>
          <w:szCs w:val="24"/>
        </w:rPr>
        <w:t>将其作为工程教育改革的试验区，率先</w:t>
      </w:r>
      <w:r>
        <w:rPr>
          <w:rFonts w:hint="eastAsia" w:ascii="仿宋" w:hAnsi="仿宋" w:eastAsia="仿宋"/>
          <w:sz w:val="24"/>
          <w:szCs w:val="24"/>
        </w:rPr>
        <w:t>实施工程教育本硕</w:t>
      </w:r>
      <w:r>
        <w:rPr>
          <w:rFonts w:ascii="仿宋" w:hAnsi="仿宋" w:eastAsia="仿宋"/>
          <w:sz w:val="24"/>
          <w:szCs w:val="24"/>
        </w:rPr>
        <w:t>贯通培养机制</w:t>
      </w:r>
      <w:r>
        <w:rPr>
          <w:rFonts w:hint="eastAsia" w:ascii="仿宋" w:hAnsi="仿宋" w:eastAsia="仿宋"/>
          <w:sz w:val="24"/>
          <w:szCs w:val="24"/>
        </w:rPr>
        <w:t>。</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为积极推动新工科建设，学校成立以校长为组长的新工科建设领导小组，制定《北京化工大学推进“新工科”建设的实施方案》（北化大校教发[2017]12号），加强顶层设计和政策保障。相继两批启动新工科研究与实践校级教改项目的立项工作，5个校级专项教改项目、1个校级培育项目、50个校级普通教改项目完成立项。我校3个项目被认定为教育部新工科研究与实践项目。</w:t>
      </w:r>
    </w:p>
    <w:p>
      <w:pPr>
        <w:spacing w:line="440" w:lineRule="exact"/>
        <w:ind w:firstLine="480" w:firstLineChars="200"/>
        <w:rPr>
          <w:rFonts w:hint="eastAsia"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我校教育部新工科研究与实践项目汇总</w:t>
      </w:r>
    </w:p>
    <w:tbl>
      <w:tblPr>
        <w:tblStyle w:val="6"/>
        <w:tblW w:w="9215"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6"/>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96" w:type="dxa"/>
          </w:tcPr>
          <w:p>
            <w:pPr>
              <w:spacing w:line="440" w:lineRule="exact"/>
              <w:jc w:val="center"/>
              <w:rPr>
                <w:rFonts w:ascii="仿宋" w:hAnsi="仿宋" w:eastAsia="仿宋"/>
                <w:sz w:val="24"/>
                <w:szCs w:val="24"/>
              </w:rPr>
            </w:pPr>
            <w:r>
              <w:rPr>
                <w:rFonts w:hint="eastAsia" w:ascii="仿宋" w:hAnsi="仿宋" w:eastAsia="仿宋"/>
                <w:sz w:val="24"/>
                <w:szCs w:val="24"/>
              </w:rPr>
              <w:t>项目名称</w:t>
            </w:r>
          </w:p>
        </w:tc>
        <w:tc>
          <w:tcPr>
            <w:tcW w:w="1418" w:type="dxa"/>
          </w:tcPr>
          <w:p>
            <w:pPr>
              <w:spacing w:line="440" w:lineRule="exact"/>
              <w:jc w:val="center"/>
              <w:rPr>
                <w:rFonts w:ascii="仿宋" w:hAnsi="仿宋" w:eastAsia="仿宋"/>
                <w:sz w:val="24"/>
                <w:szCs w:val="24"/>
              </w:rPr>
            </w:pPr>
            <w:r>
              <w:rPr>
                <w:rFonts w:hint="eastAsia" w:ascii="仿宋" w:hAnsi="仿宋" w:eastAsia="仿宋"/>
                <w:sz w:val="24"/>
                <w:szCs w:val="24"/>
              </w:rPr>
              <w:t>项目负责人</w:t>
            </w:r>
          </w:p>
        </w:tc>
        <w:tc>
          <w:tcPr>
            <w:tcW w:w="1701" w:type="dxa"/>
          </w:tcPr>
          <w:p>
            <w:pPr>
              <w:spacing w:line="440" w:lineRule="exact"/>
              <w:jc w:val="center"/>
              <w:rPr>
                <w:rFonts w:ascii="仿宋" w:hAnsi="仿宋" w:eastAsia="仿宋"/>
                <w:sz w:val="24"/>
                <w:szCs w:val="24"/>
              </w:rPr>
            </w:pPr>
            <w:r>
              <w:rPr>
                <w:rFonts w:hint="eastAsia" w:ascii="仿宋" w:hAnsi="仿宋" w:eastAsia="仿宋"/>
                <w:sz w:val="24"/>
                <w:szCs w:val="24"/>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96"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面向</w:t>
            </w:r>
            <w:r>
              <w:rPr>
                <w:rFonts w:ascii="仿宋" w:hAnsi="仿宋" w:eastAsia="仿宋"/>
                <w:sz w:val="24"/>
                <w:szCs w:val="24"/>
              </w:rPr>
              <w:t>新经济的传统化工专业改造升级的路径探索与实践</w:t>
            </w:r>
          </w:p>
        </w:tc>
        <w:tc>
          <w:tcPr>
            <w:tcW w:w="1418"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陈建峰</w:t>
            </w:r>
          </w:p>
        </w:tc>
        <w:tc>
          <w:tcPr>
            <w:tcW w:w="1701"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96"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面向</w:t>
            </w:r>
            <w:r>
              <w:rPr>
                <w:rFonts w:ascii="仿宋" w:hAnsi="仿宋" w:eastAsia="仿宋"/>
                <w:sz w:val="24"/>
                <w:szCs w:val="24"/>
              </w:rPr>
              <w:t>生命健康需求的</w:t>
            </w:r>
            <w:r>
              <w:rPr>
                <w:rFonts w:hint="eastAsia" w:ascii="仿宋" w:hAnsi="仿宋" w:eastAsia="仿宋"/>
                <w:sz w:val="24"/>
                <w:szCs w:val="24"/>
              </w:rPr>
              <w:t>材料</w:t>
            </w:r>
            <w:r>
              <w:rPr>
                <w:rFonts w:ascii="仿宋" w:hAnsi="仿宋" w:eastAsia="仿宋"/>
                <w:sz w:val="24"/>
                <w:szCs w:val="24"/>
              </w:rPr>
              <w:t>新工科专业建设探索与实践</w:t>
            </w:r>
          </w:p>
        </w:tc>
        <w:tc>
          <w:tcPr>
            <w:tcW w:w="1418"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张立群</w:t>
            </w:r>
          </w:p>
        </w:tc>
        <w:tc>
          <w:tcPr>
            <w:tcW w:w="1701"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材料学院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96"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基于</w:t>
            </w:r>
            <w:r>
              <w:rPr>
                <w:rFonts w:ascii="仿宋" w:hAnsi="仿宋" w:eastAsia="仿宋"/>
                <w:sz w:val="24"/>
                <w:szCs w:val="24"/>
              </w:rPr>
              <w:t>多学科交叉融合，本研贯通式高层次工程人才培养模式的探索与实践</w:t>
            </w:r>
          </w:p>
        </w:tc>
        <w:tc>
          <w:tcPr>
            <w:tcW w:w="1418"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苏海佳</w:t>
            </w:r>
          </w:p>
        </w:tc>
        <w:tc>
          <w:tcPr>
            <w:tcW w:w="1701"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教务处、侯德榜工程师学院</w:t>
            </w:r>
          </w:p>
        </w:tc>
      </w:tr>
    </w:tbl>
    <w:p>
      <w:pPr>
        <w:spacing w:line="440" w:lineRule="exact"/>
        <w:rPr>
          <w:rFonts w:ascii="仿宋" w:hAnsi="仿宋" w:eastAsia="仿宋"/>
          <w:sz w:val="24"/>
          <w:szCs w:val="24"/>
        </w:rPr>
      </w:pPr>
    </w:p>
    <w:bookmarkEnd w:id="0"/>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21"/>
    <w:rsid w:val="00070CE8"/>
    <w:rsid w:val="00095F21"/>
    <w:rsid w:val="00100CBA"/>
    <w:rsid w:val="00367BEA"/>
    <w:rsid w:val="00427A97"/>
    <w:rsid w:val="004E1932"/>
    <w:rsid w:val="006136EB"/>
    <w:rsid w:val="0082674C"/>
    <w:rsid w:val="00A07E26"/>
    <w:rsid w:val="00B733DA"/>
    <w:rsid w:val="00CE6C2E"/>
    <w:rsid w:val="00CE7214"/>
    <w:rsid w:val="00D9319E"/>
    <w:rsid w:val="710B3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
    <w:name w:val="Light Shading"/>
    <w:basedOn w:val="5"/>
    <w:qFormat/>
    <w:uiPriority w:val="60"/>
    <w:rPr>
      <w:color w:val="000000" w:themeColor="text1" w:themeShade="BF"/>
    </w:rPr>
    <w:tblPr>
      <w:tblBorders>
        <w:top w:val="single" w:color="000000" w:themeColor="text1" w:sz="8" w:space="0"/>
        <w:bottom w:val="single" w:color="000000" w:themeColor="text1" w:sz="8" w:space="0"/>
      </w:tblBorders>
      <w:tblLayout w:type="fixed"/>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character" w:customStyle="1" w:styleId="8">
    <w:name w:val="页眉 Char"/>
    <w:basedOn w:val="4"/>
    <w:link w:val="3"/>
    <w:qFormat/>
    <w:uiPriority w:val="99"/>
    <w:rPr>
      <w:sz w:val="18"/>
      <w:szCs w:val="18"/>
    </w:rPr>
  </w:style>
  <w:style w:type="character" w:customStyle="1" w:styleId="9">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156</Words>
  <Characters>893</Characters>
  <Lines>7</Lines>
  <Paragraphs>2</Paragraphs>
  <TotalTime>24</TotalTime>
  <ScaleCrop>false</ScaleCrop>
  <LinksUpToDate>false</LinksUpToDate>
  <CharactersWithSpaces>1047</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2018-09-21T01:19:00Z</dcterms:created>
  <dc:creator>张婷</dc:creator>
  <cp:lastModifiedBy>pc</cp:lastModifiedBy>
  <dcterms:modified xsi:type="dcterms:W3CDTF">2018-09-21T14:55:33Z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